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40"/>
          <w:szCs w:val="40"/>
          <w:u w:val="none"/>
          <w:em w:val="none"/>
          <w:lang w:val="ru-RU" w:eastAsia="zh-CN" w:bidi="hi-IN"/>
        </w:rPr>
        <w:t>Ведомственный проект «Развитие инженерной инфраструктуры на сельских территориях»</w:t>
      </w:r>
    </w:p>
    <w:p>
      <w:pPr>
        <w:pStyle w:val="Normal"/>
        <w:bidi w:val="0"/>
        <w:jc w:val="center"/>
        <w:rPr/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40"/>
          <w:szCs w:val="40"/>
          <w:u w:val="none"/>
          <w:em w:val="none"/>
          <w:lang w:val="ru-RU" w:eastAsia="zh-CN" w:bidi="hi-IN"/>
        </w:rPr>
        <w:t>Перечень направлений и документов:</w:t>
      </w:r>
    </w:p>
    <w:p>
      <w:pPr>
        <w:pStyle w:val="Normal"/>
        <w:bidi w:val="0"/>
        <w:jc w:val="both"/>
        <w:rPr>
          <w:rFonts w:ascii="Times New Roman" w:hAnsi="Times New Roman" w:eastAsia="Tahoma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</w:r>
    </w:p>
    <w:p>
      <w:pPr>
        <w:pStyle w:val="Style20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eastAsia="Tahoma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Обращаем внимание, что участие возможно при реализации на сельской территории инвестиционного проекта в сфере агропромышленного комплекса, в том числе которые реализованы в течении 3 лет до подачи бюджетной заявки и в течение 2 лет, следующих за годом представления заявки.</w:t>
      </w:r>
    </w:p>
    <w:p>
      <w:pPr>
        <w:pStyle w:val="Style20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eastAsia="Tahoma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Направления:</w:t>
      </w:r>
    </w:p>
    <w:p>
      <w:pPr>
        <w:pStyle w:val="Style16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1. Р</w:t>
      </w:r>
      <w:r>
        <w:rPr>
          <w:rStyle w:val="Style14"/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 xml:space="preserve">азвитие 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 xml:space="preserve">газификации (строительство и реконструкция распределительных газовых сетей) и водоснабжения (строительство и реконструкция локальных водопроводов) на </w:t>
      </w:r>
      <w:r>
        <w:rPr>
          <w:rStyle w:val="Style14"/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сельских территориях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;</w:t>
      </w:r>
    </w:p>
    <w:p>
      <w:pPr>
        <w:pStyle w:val="Style16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2. Р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 xml:space="preserve">еализация проектов </w:t>
      </w:r>
      <w:r>
        <w:rPr>
          <w:rStyle w:val="Style14"/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 xml:space="preserve">комплексного 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обустройства площадок под компактную жилищную застройку на сельских территориях,предусматривающих:</w:t>
      </w:r>
    </w:p>
    <w:p>
      <w:pPr>
        <w:pStyle w:val="Style16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bookmarkStart w:id="0" w:name="p_676"/>
      <w:bookmarkEnd w:id="0"/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- инженерную подготовку площадки под компактную жилищную застройку;</w:t>
      </w:r>
    </w:p>
    <w:p>
      <w:pPr>
        <w:pStyle w:val="Style16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bookmarkStart w:id="1" w:name="p_677"/>
      <w:bookmarkEnd w:id="1"/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- строительство и реконструкцию объектов социальной и культурной сферы (дошкольные образовательные и общеобразовательн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>
      <w:pPr>
        <w:pStyle w:val="Style16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bookmarkStart w:id="2" w:name="p_678"/>
      <w:bookmarkEnd w:id="2"/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- обеспечение уличного освещения, строительство улично-дорожной сети, а также благоустройство (в том числе озеленение).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rFonts w:eastAsia="Tahoma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spacing w:val="0"/>
          <w:kern w:val="2"/>
          <w:sz w:val="28"/>
          <w:szCs w:val="28"/>
          <w:u w:val="none"/>
          <w:em w:val="none"/>
          <w:lang w:val="ru-RU" w:eastAsia="zh-CN" w:bidi="hi-IN"/>
        </w:rPr>
      </w:pPr>
      <w:r>
        <w:rPr>
          <w:color w:val="000000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1. З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2. Р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еестр объектов инженерного обустройства;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3. П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роектно-сметная документация, соответствующая нормативным требованиям, прошедшая государственную экспертизу в случаях, установленных законодательством, и имеющая положительное заключение государственной экспертизы. В случае отсутствия утвержденной проектно-сметной документации на день подачи заявления руководитель органа местного самоуправления муниципального образования направляет обращение о том, что проектно-сметная документация будет получена в году, предшествующем году предоставления субсидии;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4. И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нформация об инвестиционных проектах на сельских территориях;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5. Г</w:t>
      </w:r>
      <w:r>
        <w:rPr>
          <w:rFonts w:eastAsia="Tahoma" w:cs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арантийное письмо о привлечении средств на условиях софинансирования.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Free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0">
    <w:name w:val="Обычный"/>
    <w:qFormat/>
    <w:pPr>
      <w:widowControl w:val="false"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+mn-lt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LibreOffice/6.3.5.2$Linux_X86_64 LibreOffice_project/30$Build-2</Application>
  <Pages>2</Pages>
  <Words>210</Words>
  <Characters>1723</Characters>
  <CharactersWithSpaces>1918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Сабина Руслановна Ахундова</cp:lastModifiedBy>
  <dcterms:modified xsi:type="dcterms:W3CDTF">2020-12-08T16:25:07Z</dcterms:modified>
  <cp:revision>5</cp:revision>
  <dc:subject/>
  <dc:title/>
</cp:coreProperties>
</file>