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369"/>
        <w:gridCol w:w="6202"/>
      </w:tblGrid>
      <w:tr w:rsidR="00203F88" w:rsidTr="00F45121">
        <w:tc>
          <w:tcPr>
            <w:tcW w:w="3369" w:type="dxa"/>
            <w:vAlign w:val="center"/>
          </w:tcPr>
          <w:p w:rsidR="00203F88" w:rsidRPr="00203F88" w:rsidRDefault="00203F88" w:rsidP="00F45121">
            <w:pPr>
              <w:jc w:val="center"/>
              <w:rPr>
                <w:rFonts w:ascii="Times New Roman" w:hAnsi="Times New Roman" w:cs="Times New Roman"/>
                <w:b/>
                <w:sz w:val="24"/>
                <w:szCs w:val="24"/>
              </w:rPr>
            </w:pPr>
            <w:r w:rsidRPr="00203F88">
              <w:rPr>
                <w:rFonts w:ascii="Times New Roman" w:hAnsi="Times New Roman" w:cs="Times New Roman"/>
                <w:b/>
                <w:sz w:val="24"/>
                <w:szCs w:val="24"/>
              </w:rPr>
              <w:t>Программа кредитования</w:t>
            </w:r>
          </w:p>
        </w:tc>
        <w:tc>
          <w:tcPr>
            <w:tcW w:w="6202" w:type="dxa"/>
            <w:vAlign w:val="center"/>
          </w:tcPr>
          <w:p w:rsidR="00203F88" w:rsidRPr="00203F88" w:rsidRDefault="00754D90" w:rsidP="00754D90">
            <w:pPr>
              <w:jc w:val="center"/>
              <w:rPr>
                <w:rFonts w:ascii="Times New Roman" w:hAnsi="Times New Roman" w:cs="Times New Roman"/>
                <w:b/>
                <w:sz w:val="24"/>
                <w:szCs w:val="24"/>
              </w:rPr>
            </w:pPr>
            <w:r>
              <w:rPr>
                <w:rFonts w:ascii="Times New Roman" w:hAnsi="Times New Roman" w:cs="Times New Roman"/>
                <w:b/>
                <w:sz w:val="24"/>
                <w:szCs w:val="24"/>
              </w:rPr>
              <w:t>Кредитный продукт «Оптимальный»</w:t>
            </w:r>
            <w:r w:rsidR="00203F88">
              <w:rPr>
                <w:rFonts w:ascii="Times New Roman" w:hAnsi="Times New Roman" w:cs="Times New Roman"/>
                <w:b/>
                <w:sz w:val="24"/>
                <w:szCs w:val="24"/>
              </w:rPr>
              <w:t xml:space="preserve">, </w:t>
            </w:r>
            <w:r>
              <w:rPr>
                <w:rFonts w:ascii="Times New Roman" w:hAnsi="Times New Roman" w:cs="Times New Roman"/>
                <w:b/>
                <w:sz w:val="24"/>
                <w:szCs w:val="24"/>
              </w:rPr>
              <w:t>534</w:t>
            </w:r>
            <w:r w:rsidR="00203F88">
              <w:rPr>
                <w:rFonts w:ascii="Times New Roman" w:hAnsi="Times New Roman" w:cs="Times New Roman"/>
                <w:b/>
                <w:sz w:val="24"/>
                <w:szCs w:val="24"/>
              </w:rPr>
              <w:t>-П</w:t>
            </w:r>
          </w:p>
        </w:tc>
      </w:tr>
      <w:tr w:rsidR="00F22069" w:rsidTr="00AB6E11">
        <w:tc>
          <w:tcPr>
            <w:tcW w:w="3369" w:type="dxa"/>
            <w:vAlign w:val="center"/>
          </w:tcPr>
          <w:p w:rsidR="00F22069" w:rsidRDefault="00F22069" w:rsidP="00F45121">
            <w:pPr>
              <w:jc w:val="center"/>
              <w:rPr>
                <w:rFonts w:ascii="Times New Roman" w:hAnsi="Times New Roman" w:cs="Times New Roman"/>
                <w:sz w:val="24"/>
                <w:szCs w:val="24"/>
              </w:rPr>
            </w:pPr>
            <w:r>
              <w:rPr>
                <w:rFonts w:ascii="Times New Roman" w:hAnsi="Times New Roman" w:cs="Times New Roman"/>
                <w:sz w:val="24"/>
                <w:szCs w:val="24"/>
              </w:rPr>
              <w:t>Тип заемщика</w:t>
            </w:r>
          </w:p>
        </w:tc>
        <w:tc>
          <w:tcPr>
            <w:tcW w:w="6202" w:type="dxa"/>
            <w:vAlign w:val="center"/>
          </w:tcPr>
          <w:p w:rsidR="00F22069" w:rsidRDefault="00F22069" w:rsidP="00F22069">
            <w:pPr>
              <w:pStyle w:val="a7"/>
              <w:numPr>
                <w:ilvl w:val="0"/>
                <w:numId w:val="5"/>
              </w:numPr>
              <w:tabs>
                <w:tab w:val="left" w:pos="317"/>
              </w:tabs>
              <w:ind w:left="0" w:firstLine="33"/>
              <w:contextualSpacing w:val="0"/>
              <w:jc w:val="both"/>
              <w:rPr>
                <w:rFonts w:ascii="Times New Roman" w:hAnsi="Times New Roman" w:cs="Times New Roman"/>
                <w:sz w:val="24"/>
                <w:szCs w:val="24"/>
              </w:rPr>
            </w:pPr>
            <w:proofErr w:type="gramStart"/>
            <w:r w:rsidRPr="00F22069">
              <w:rPr>
                <w:rFonts w:ascii="Times New Roman" w:hAnsi="Times New Roman" w:cs="Times New Roman"/>
                <w:sz w:val="24"/>
                <w:szCs w:val="24"/>
              </w:rPr>
              <w:t>Юридическое лицо (в том числе: крестьянское (фе</w:t>
            </w:r>
            <w:r w:rsidRPr="00F22069">
              <w:rPr>
                <w:rFonts w:ascii="Times New Roman" w:hAnsi="Times New Roman" w:cs="Times New Roman"/>
                <w:sz w:val="24"/>
                <w:szCs w:val="24"/>
              </w:rPr>
              <w:t>р</w:t>
            </w:r>
            <w:r w:rsidRPr="00F22069">
              <w:rPr>
                <w:rFonts w:ascii="Times New Roman" w:hAnsi="Times New Roman" w:cs="Times New Roman"/>
                <w:sz w:val="24"/>
                <w:szCs w:val="24"/>
              </w:rPr>
              <w:t>мерское) хозяйство (далее – КФХ), зарегистрирова</w:t>
            </w:r>
            <w:r w:rsidRPr="00F22069">
              <w:rPr>
                <w:rFonts w:ascii="Times New Roman" w:hAnsi="Times New Roman" w:cs="Times New Roman"/>
                <w:sz w:val="24"/>
                <w:szCs w:val="24"/>
              </w:rPr>
              <w:t>н</w:t>
            </w:r>
            <w:r w:rsidRPr="00F22069">
              <w:rPr>
                <w:rFonts w:ascii="Times New Roman" w:hAnsi="Times New Roman" w:cs="Times New Roman"/>
                <w:sz w:val="24"/>
                <w:szCs w:val="24"/>
              </w:rPr>
              <w:t>ное в статусе юридического лица, сельскохозяйственный п</w:t>
            </w:r>
            <w:r w:rsidRPr="00F22069">
              <w:rPr>
                <w:rFonts w:ascii="Times New Roman" w:hAnsi="Times New Roman" w:cs="Times New Roman"/>
                <w:sz w:val="24"/>
                <w:szCs w:val="24"/>
              </w:rPr>
              <w:t>о</w:t>
            </w:r>
            <w:r w:rsidRPr="00F22069">
              <w:rPr>
                <w:rFonts w:ascii="Times New Roman" w:hAnsi="Times New Roman" w:cs="Times New Roman"/>
                <w:sz w:val="24"/>
                <w:szCs w:val="24"/>
              </w:rPr>
              <w:t xml:space="preserve">требительский кооператив (далее – </w:t>
            </w:r>
            <w:proofErr w:type="spellStart"/>
            <w:r w:rsidRPr="00F22069">
              <w:rPr>
                <w:rFonts w:ascii="Times New Roman" w:hAnsi="Times New Roman" w:cs="Times New Roman"/>
                <w:sz w:val="24"/>
                <w:szCs w:val="24"/>
              </w:rPr>
              <w:t>СПоК</w:t>
            </w:r>
            <w:proofErr w:type="spellEnd"/>
            <w:r w:rsidRPr="00F22069">
              <w:rPr>
                <w:rFonts w:ascii="Times New Roman" w:hAnsi="Times New Roman" w:cs="Times New Roman"/>
                <w:sz w:val="24"/>
                <w:szCs w:val="24"/>
              </w:rPr>
              <w:t>), сельскохозя</w:t>
            </w:r>
            <w:r w:rsidRPr="00F22069">
              <w:rPr>
                <w:rFonts w:ascii="Times New Roman" w:hAnsi="Times New Roman" w:cs="Times New Roman"/>
                <w:sz w:val="24"/>
                <w:szCs w:val="24"/>
              </w:rPr>
              <w:t>й</w:t>
            </w:r>
            <w:r w:rsidRPr="00F22069">
              <w:rPr>
                <w:rFonts w:ascii="Times New Roman" w:hAnsi="Times New Roman" w:cs="Times New Roman"/>
                <w:sz w:val="24"/>
                <w:szCs w:val="24"/>
              </w:rPr>
              <w:t>стве</w:t>
            </w:r>
            <w:r w:rsidRPr="00F22069">
              <w:rPr>
                <w:rFonts w:ascii="Times New Roman" w:hAnsi="Times New Roman" w:cs="Times New Roman"/>
                <w:sz w:val="24"/>
                <w:szCs w:val="24"/>
              </w:rPr>
              <w:t>н</w:t>
            </w:r>
            <w:r w:rsidRPr="00F22069">
              <w:rPr>
                <w:rFonts w:ascii="Times New Roman" w:hAnsi="Times New Roman" w:cs="Times New Roman"/>
                <w:sz w:val="24"/>
                <w:szCs w:val="24"/>
              </w:rPr>
              <w:t>ный про</w:t>
            </w:r>
            <w:bookmarkStart w:id="0" w:name="_GoBack"/>
            <w:bookmarkEnd w:id="0"/>
            <w:r w:rsidRPr="00F22069">
              <w:rPr>
                <w:rFonts w:ascii="Times New Roman" w:hAnsi="Times New Roman" w:cs="Times New Roman"/>
                <w:sz w:val="24"/>
                <w:szCs w:val="24"/>
              </w:rPr>
              <w:t xml:space="preserve">изводственный кооператив) </w:t>
            </w:r>
            <w:proofErr w:type="gramEnd"/>
          </w:p>
          <w:p w:rsidR="00F22069" w:rsidRPr="00F22069" w:rsidRDefault="00F22069" w:rsidP="00F22069">
            <w:pPr>
              <w:pStyle w:val="a7"/>
              <w:numPr>
                <w:ilvl w:val="0"/>
                <w:numId w:val="5"/>
              </w:numPr>
              <w:tabs>
                <w:tab w:val="left" w:pos="317"/>
              </w:tabs>
              <w:ind w:left="0" w:firstLine="33"/>
              <w:contextualSpacing w:val="0"/>
              <w:jc w:val="both"/>
              <w:rPr>
                <w:rFonts w:ascii="Times New Roman" w:hAnsi="Times New Roman" w:cs="Times New Roman"/>
                <w:sz w:val="24"/>
                <w:szCs w:val="24"/>
              </w:rPr>
            </w:pPr>
            <w:r w:rsidRPr="00F22069">
              <w:rPr>
                <w:rFonts w:ascii="Times New Roman" w:hAnsi="Times New Roman" w:cs="Times New Roman"/>
                <w:sz w:val="24"/>
                <w:szCs w:val="24"/>
              </w:rPr>
              <w:t>Индивидуальный предприниматель (далее – ИП) (в том числе ИП - глава КФХ), использующий общую с</w:t>
            </w:r>
            <w:r w:rsidRPr="00F22069">
              <w:rPr>
                <w:rFonts w:ascii="Times New Roman" w:hAnsi="Times New Roman" w:cs="Times New Roman"/>
                <w:sz w:val="24"/>
                <w:szCs w:val="24"/>
              </w:rPr>
              <w:t>и</w:t>
            </w:r>
            <w:r w:rsidRPr="00F22069">
              <w:rPr>
                <w:rFonts w:ascii="Times New Roman" w:hAnsi="Times New Roman" w:cs="Times New Roman"/>
                <w:sz w:val="24"/>
                <w:szCs w:val="24"/>
              </w:rPr>
              <w:t>стему налогообл</w:t>
            </w:r>
            <w:r w:rsidRPr="00F22069">
              <w:rPr>
                <w:rFonts w:ascii="Times New Roman" w:hAnsi="Times New Roman" w:cs="Times New Roman"/>
                <w:sz w:val="24"/>
                <w:szCs w:val="24"/>
              </w:rPr>
              <w:t>о</w:t>
            </w:r>
            <w:r w:rsidRPr="00F22069">
              <w:rPr>
                <w:rFonts w:ascii="Times New Roman" w:hAnsi="Times New Roman" w:cs="Times New Roman"/>
                <w:sz w:val="24"/>
                <w:szCs w:val="24"/>
              </w:rPr>
              <w:t>жения</w:t>
            </w:r>
          </w:p>
        </w:tc>
      </w:tr>
      <w:tr w:rsidR="00F45121" w:rsidTr="00AB6E11">
        <w:tc>
          <w:tcPr>
            <w:tcW w:w="3369" w:type="dxa"/>
            <w:vAlign w:val="center"/>
          </w:tcPr>
          <w:p w:rsidR="00F45121" w:rsidRPr="00F45121" w:rsidRDefault="00F45121" w:rsidP="00F45121">
            <w:pPr>
              <w:jc w:val="center"/>
              <w:rPr>
                <w:rFonts w:ascii="Times New Roman" w:hAnsi="Times New Roman" w:cs="Times New Roman"/>
                <w:sz w:val="24"/>
                <w:szCs w:val="24"/>
              </w:rPr>
            </w:pPr>
            <w:r>
              <w:rPr>
                <w:rFonts w:ascii="Times New Roman" w:hAnsi="Times New Roman" w:cs="Times New Roman"/>
                <w:sz w:val="24"/>
                <w:szCs w:val="24"/>
              </w:rPr>
              <w:t>Цель кредита</w:t>
            </w:r>
          </w:p>
        </w:tc>
        <w:tc>
          <w:tcPr>
            <w:tcW w:w="6202" w:type="dxa"/>
            <w:vAlign w:val="center"/>
          </w:tcPr>
          <w:p w:rsidR="00F45121" w:rsidRDefault="00754D90" w:rsidP="006B0B46">
            <w:pPr>
              <w:tabs>
                <w:tab w:val="left" w:pos="317"/>
              </w:tabs>
              <w:spacing w:after="120"/>
              <w:jc w:val="center"/>
              <w:rPr>
                <w:rFonts w:ascii="Times New Roman" w:hAnsi="Times New Roman" w:cs="Times New Roman"/>
                <w:sz w:val="24"/>
                <w:szCs w:val="24"/>
              </w:rPr>
            </w:pPr>
            <w:r>
              <w:rPr>
                <w:rFonts w:ascii="Times New Roman" w:hAnsi="Times New Roman" w:cs="Times New Roman"/>
                <w:sz w:val="24"/>
                <w:szCs w:val="24"/>
              </w:rPr>
              <w:t>Инвестиционные цели</w:t>
            </w:r>
            <w:r w:rsidR="006B0B46">
              <w:rPr>
                <w:rFonts w:ascii="Times New Roman" w:hAnsi="Times New Roman" w:cs="Times New Roman"/>
                <w:sz w:val="24"/>
                <w:szCs w:val="24"/>
              </w:rPr>
              <w:t>*</w:t>
            </w:r>
          </w:p>
          <w:p w:rsidR="006B0B46" w:rsidRPr="006B0B46" w:rsidRDefault="006B0B46" w:rsidP="006B0B46">
            <w:pPr>
              <w:tabs>
                <w:tab w:val="left" w:pos="317"/>
              </w:tabs>
              <w:rPr>
                <w:rFonts w:ascii="Times New Roman" w:hAnsi="Times New Roman" w:cs="Times New Roman"/>
                <w:sz w:val="24"/>
                <w:szCs w:val="24"/>
              </w:rPr>
            </w:pPr>
            <w:r w:rsidRPr="006B0B46">
              <w:rPr>
                <w:rStyle w:val="aa"/>
                <w:rFonts w:ascii="ProximaNova" w:hAnsi="ProximaNova"/>
                <w:color w:val="000000"/>
                <w:sz w:val="15"/>
                <w:szCs w:val="15"/>
              </w:rPr>
              <w:t>* Под инвестиционными целями понимается: приобретение транспорта, оборудования, недвижимости, строительство, реконструкция, модернизация и пр.</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Срок кредита</w:t>
            </w:r>
          </w:p>
        </w:tc>
        <w:tc>
          <w:tcPr>
            <w:tcW w:w="6202" w:type="dxa"/>
            <w:vAlign w:val="center"/>
          </w:tcPr>
          <w:p w:rsidR="00AB6E11" w:rsidRPr="00754D90" w:rsidRDefault="00754D90" w:rsidP="006B0B46">
            <w:pPr>
              <w:pStyle w:val="ConsNormal"/>
              <w:widowControl w:val="0"/>
              <w:ind w:right="0" w:firstLine="0"/>
              <w:jc w:val="both"/>
              <w:rPr>
                <w:rFonts w:ascii="Times New Roman" w:eastAsiaTheme="minorHAnsi" w:hAnsi="Times New Roman" w:cs="Times New Roman"/>
                <w:sz w:val="24"/>
                <w:szCs w:val="24"/>
                <w:lang w:eastAsia="en-US"/>
              </w:rPr>
            </w:pPr>
            <w:r w:rsidRPr="00754D90">
              <w:rPr>
                <w:rFonts w:ascii="Times New Roman" w:eastAsiaTheme="minorHAnsi" w:hAnsi="Times New Roman" w:cs="Times New Roman"/>
                <w:sz w:val="24"/>
                <w:szCs w:val="24"/>
                <w:lang w:eastAsia="en-US"/>
              </w:rPr>
              <w:t>Максимальный срок кредитования ограничен сроком до 60 месяцев включительно</w:t>
            </w:r>
            <w:r w:rsidR="006B0B46">
              <w:rPr>
                <w:rFonts w:ascii="Times New Roman" w:eastAsiaTheme="minorHAnsi" w:hAnsi="Times New Roman" w:cs="Times New Roman"/>
                <w:sz w:val="24"/>
                <w:szCs w:val="24"/>
                <w:lang w:eastAsia="en-US"/>
              </w:rPr>
              <w:t xml:space="preserve"> (5 лет)</w:t>
            </w:r>
            <w:r w:rsidRPr="00754D90">
              <w:rPr>
                <w:rFonts w:ascii="Times New Roman" w:eastAsiaTheme="minorHAnsi" w:hAnsi="Times New Roman" w:cs="Times New Roman"/>
                <w:sz w:val="24"/>
                <w:szCs w:val="24"/>
                <w:lang w:eastAsia="en-US"/>
              </w:rPr>
              <w:t xml:space="preserve"> и зависит от структуры предоставляемого залогового обеспечения</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Сумма кредита</w:t>
            </w:r>
          </w:p>
        </w:tc>
        <w:tc>
          <w:tcPr>
            <w:tcW w:w="6202" w:type="dxa"/>
            <w:vAlign w:val="center"/>
          </w:tcPr>
          <w:p w:rsidR="00AB6E11" w:rsidRPr="00AB6E11" w:rsidRDefault="00754D90" w:rsidP="00754D90">
            <w:pPr>
              <w:pStyle w:val="ConsNormal"/>
              <w:widowControl w:val="0"/>
              <w:ind w:right="0" w:firstLine="0"/>
              <w:jc w:val="center"/>
              <w:rPr>
                <w:rFonts w:ascii="Times New Roman" w:hAnsi="Times New Roman" w:cs="Times New Roman"/>
                <w:sz w:val="22"/>
                <w:szCs w:val="22"/>
              </w:rPr>
            </w:pPr>
            <w:r>
              <w:rPr>
                <w:rFonts w:ascii="Times New Roman" w:hAnsi="Times New Roman" w:cs="Times New Roman"/>
                <w:sz w:val="22"/>
                <w:szCs w:val="22"/>
              </w:rPr>
              <w:t>От 100 000 руб. до 7 000 000 руб. (включительно)</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Обеспечение</w:t>
            </w:r>
          </w:p>
        </w:tc>
        <w:tc>
          <w:tcPr>
            <w:tcW w:w="6202" w:type="dxa"/>
            <w:vAlign w:val="center"/>
          </w:tcPr>
          <w:p w:rsidR="00754D90" w:rsidRPr="00754D90" w:rsidRDefault="00754D90" w:rsidP="006B0B46">
            <w:pPr>
              <w:jc w:val="both"/>
              <w:rPr>
                <w:rFonts w:ascii="Times New Roman" w:hAnsi="Times New Roman" w:cs="Times New Roman"/>
                <w:sz w:val="24"/>
                <w:szCs w:val="24"/>
              </w:rPr>
            </w:pPr>
            <w:r w:rsidRPr="00754D90">
              <w:rPr>
                <w:rFonts w:ascii="Times New Roman" w:hAnsi="Times New Roman" w:cs="Times New Roman"/>
                <w:sz w:val="24"/>
                <w:szCs w:val="24"/>
              </w:rPr>
              <w:t>Залоговым обеспечением по кредиту может являться н</w:t>
            </w:r>
            <w:r w:rsidRPr="00754D90">
              <w:rPr>
                <w:rFonts w:ascii="Times New Roman" w:hAnsi="Times New Roman" w:cs="Times New Roman"/>
                <w:sz w:val="24"/>
                <w:szCs w:val="24"/>
              </w:rPr>
              <w:t>е</w:t>
            </w:r>
            <w:r w:rsidRPr="00754D90">
              <w:rPr>
                <w:rFonts w:ascii="Times New Roman" w:hAnsi="Times New Roman" w:cs="Times New Roman"/>
                <w:sz w:val="24"/>
                <w:szCs w:val="24"/>
              </w:rPr>
              <w:t>движимое имущество, транспортные средства, оборуд</w:t>
            </w:r>
            <w:r w:rsidRPr="00754D90">
              <w:rPr>
                <w:rFonts w:ascii="Times New Roman" w:hAnsi="Times New Roman" w:cs="Times New Roman"/>
                <w:sz w:val="24"/>
                <w:szCs w:val="24"/>
              </w:rPr>
              <w:t>о</w:t>
            </w:r>
            <w:r w:rsidRPr="00754D90">
              <w:rPr>
                <w:rFonts w:ascii="Times New Roman" w:hAnsi="Times New Roman" w:cs="Times New Roman"/>
                <w:sz w:val="24"/>
                <w:szCs w:val="24"/>
              </w:rPr>
              <w:t>вание, товары в обороте.</w:t>
            </w:r>
          </w:p>
          <w:p w:rsidR="00AB6E11" w:rsidRDefault="00754D90" w:rsidP="006B0B46">
            <w:pPr>
              <w:pStyle w:val="ConsNormal"/>
              <w:widowControl w:val="0"/>
              <w:spacing w:before="120"/>
              <w:ind w:right="0" w:firstLine="0"/>
              <w:jc w:val="both"/>
              <w:rPr>
                <w:rFonts w:ascii="Times New Roman" w:eastAsiaTheme="minorHAnsi" w:hAnsi="Times New Roman" w:cs="Times New Roman"/>
                <w:sz w:val="24"/>
                <w:szCs w:val="24"/>
                <w:lang w:eastAsia="en-US"/>
              </w:rPr>
            </w:pPr>
            <w:r w:rsidRPr="00754D90">
              <w:rPr>
                <w:rFonts w:ascii="Times New Roman" w:eastAsiaTheme="minorHAnsi" w:hAnsi="Times New Roman" w:cs="Times New Roman"/>
                <w:sz w:val="24"/>
                <w:szCs w:val="24"/>
                <w:lang w:eastAsia="en-US"/>
              </w:rPr>
              <w:t>Обеспечением также может выступать гарантия акци</w:t>
            </w:r>
            <w:r w:rsidRPr="00754D90">
              <w:rPr>
                <w:rFonts w:ascii="Times New Roman" w:eastAsiaTheme="minorHAnsi" w:hAnsi="Times New Roman" w:cs="Times New Roman"/>
                <w:sz w:val="24"/>
                <w:szCs w:val="24"/>
                <w:lang w:eastAsia="en-US"/>
              </w:rPr>
              <w:t>о</w:t>
            </w:r>
            <w:r w:rsidRPr="00754D90">
              <w:rPr>
                <w:rFonts w:ascii="Times New Roman" w:eastAsiaTheme="minorHAnsi" w:hAnsi="Times New Roman" w:cs="Times New Roman"/>
                <w:sz w:val="24"/>
                <w:szCs w:val="24"/>
                <w:lang w:eastAsia="en-US"/>
              </w:rPr>
              <w:t>нерного общества «Федеральная корпорация по развитию малого и среднего предпринимательства» (АО «Корпор</w:t>
            </w:r>
            <w:r w:rsidRPr="00754D90">
              <w:rPr>
                <w:rFonts w:ascii="Times New Roman" w:eastAsiaTheme="minorHAnsi" w:hAnsi="Times New Roman" w:cs="Times New Roman"/>
                <w:sz w:val="24"/>
                <w:szCs w:val="24"/>
                <w:lang w:eastAsia="en-US"/>
              </w:rPr>
              <w:t>а</w:t>
            </w:r>
            <w:r w:rsidRPr="00754D90">
              <w:rPr>
                <w:rFonts w:ascii="Times New Roman" w:eastAsiaTheme="minorHAnsi" w:hAnsi="Times New Roman" w:cs="Times New Roman"/>
                <w:sz w:val="24"/>
                <w:szCs w:val="24"/>
                <w:lang w:eastAsia="en-US"/>
              </w:rPr>
              <w:t>ция «МСП»).</w:t>
            </w:r>
          </w:p>
          <w:p w:rsidR="006B0B46" w:rsidRPr="00754D90" w:rsidRDefault="006B0B46" w:rsidP="006B0B46">
            <w:pPr>
              <w:pStyle w:val="ConsNormal"/>
              <w:widowControl w:val="0"/>
              <w:spacing w:before="120"/>
              <w:ind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Поручительство физических/юридических лиц</w:t>
            </w:r>
          </w:p>
        </w:tc>
      </w:tr>
      <w:tr w:rsidR="00AB6E11" w:rsidTr="00AB6E11">
        <w:tc>
          <w:tcPr>
            <w:tcW w:w="3369" w:type="dxa"/>
            <w:vAlign w:val="center"/>
          </w:tcPr>
          <w:p w:rsidR="00AB6E1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Процентная ставка</w:t>
            </w:r>
          </w:p>
        </w:tc>
        <w:tc>
          <w:tcPr>
            <w:tcW w:w="6202" w:type="dxa"/>
            <w:vAlign w:val="center"/>
          </w:tcPr>
          <w:p w:rsidR="00AB6E11" w:rsidRPr="00AB6E11" w:rsidRDefault="00AB6E11" w:rsidP="00754D90">
            <w:pPr>
              <w:jc w:val="center"/>
              <w:rPr>
                <w:rFonts w:ascii="Times New Roman" w:hAnsi="Times New Roman" w:cs="Times New Roman"/>
                <w:sz w:val="24"/>
                <w:szCs w:val="24"/>
              </w:rPr>
            </w:pPr>
            <w:r>
              <w:rPr>
                <w:rFonts w:ascii="Times New Roman" w:hAnsi="Times New Roman" w:cs="Times New Roman"/>
                <w:sz w:val="24"/>
                <w:szCs w:val="24"/>
              </w:rPr>
              <w:t>от 16,</w:t>
            </w:r>
            <w:r w:rsidR="00754D90">
              <w:rPr>
                <w:rFonts w:ascii="Times New Roman" w:hAnsi="Times New Roman" w:cs="Times New Roman"/>
                <w:sz w:val="24"/>
                <w:szCs w:val="24"/>
              </w:rPr>
              <w:t>60</w:t>
            </w:r>
            <w:r>
              <w:rPr>
                <w:rFonts w:ascii="Times New Roman" w:hAnsi="Times New Roman" w:cs="Times New Roman"/>
                <w:sz w:val="24"/>
                <w:szCs w:val="24"/>
              </w:rPr>
              <w:t>% до 2</w:t>
            </w:r>
            <w:r w:rsidR="00754D90">
              <w:rPr>
                <w:rFonts w:ascii="Times New Roman" w:hAnsi="Times New Roman" w:cs="Times New Roman"/>
                <w:sz w:val="24"/>
                <w:szCs w:val="24"/>
              </w:rPr>
              <w:t>0</w:t>
            </w:r>
            <w:r>
              <w:rPr>
                <w:rFonts w:ascii="Times New Roman" w:hAnsi="Times New Roman" w:cs="Times New Roman"/>
                <w:sz w:val="24"/>
                <w:szCs w:val="24"/>
              </w:rPr>
              <w:t>,</w:t>
            </w:r>
            <w:r w:rsidR="00754D90">
              <w:rPr>
                <w:rFonts w:ascii="Times New Roman" w:hAnsi="Times New Roman" w:cs="Times New Roman"/>
                <w:sz w:val="24"/>
                <w:szCs w:val="24"/>
              </w:rPr>
              <w:t>27</w:t>
            </w:r>
            <w:r>
              <w:rPr>
                <w:rFonts w:ascii="Times New Roman" w:hAnsi="Times New Roman" w:cs="Times New Roman"/>
                <w:sz w:val="24"/>
                <w:szCs w:val="24"/>
              </w:rPr>
              <w:t>%</w:t>
            </w:r>
          </w:p>
        </w:tc>
      </w:tr>
      <w:tr w:rsidR="00AB6E11" w:rsidTr="00AB6E11">
        <w:tc>
          <w:tcPr>
            <w:tcW w:w="3369" w:type="dxa"/>
            <w:vAlign w:val="center"/>
          </w:tcPr>
          <w:p w:rsidR="00AB6E1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Преимущества</w:t>
            </w:r>
          </w:p>
        </w:tc>
        <w:tc>
          <w:tcPr>
            <w:tcW w:w="6202" w:type="dxa"/>
            <w:vAlign w:val="center"/>
          </w:tcPr>
          <w:p w:rsidR="006B0B46" w:rsidRDefault="006B0B46"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sidRPr="006B0B46">
              <w:rPr>
                <w:rFonts w:ascii="Times New Roman" w:eastAsiaTheme="minorHAnsi" w:hAnsi="Times New Roman" w:cs="Times New Roman"/>
                <w:sz w:val="24"/>
                <w:szCs w:val="24"/>
                <w:lang w:eastAsia="en-US"/>
              </w:rPr>
              <w:t>Длительный срок кредитования</w:t>
            </w:r>
          </w:p>
          <w:p w:rsidR="006B0B46" w:rsidRDefault="006B0B46"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Гибкая структура обеспечения по кредиту</w:t>
            </w:r>
          </w:p>
          <w:p w:rsidR="006B0B46" w:rsidRPr="006B0B46" w:rsidRDefault="006B0B46"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Возможность предоставления кредита под залог недв</w:t>
            </w:r>
            <w:r>
              <w:rPr>
                <w:rFonts w:ascii="Times New Roman" w:eastAsiaTheme="minorHAnsi" w:hAnsi="Times New Roman" w:cs="Times New Roman"/>
                <w:sz w:val="24"/>
                <w:szCs w:val="24"/>
                <w:lang w:eastAsia="en-US"/>
              </w:rPr>
              <w:t>и</w:t>
            </w:r>
            <w:r>
              <w:rPr>
                <w:rFonts w:ascii="Times New Roman" w:eastAsiaTheme="minorHAnsi" w:hAnsi="Times New Roman" w:cs="Times New Roman"/>
                <w:sz w:val="24"/>
                <w:szCs w:val="24"/>
                <w:lang w:eastAsia="en-US"/>
              </w:rPr>
              <w:t>жимости до регистрации договора ипотеки</w:t>
            </w:r>
          </w:p>
        </w:tc>
      </w:tr>
      <w:tr w:rsidR="00522F65" w:rsidTr="008B744E">
        <w:tc>
          <w:tcPr>
            <w:tcW w:w="9571" w:type="dxa"/>
            <w:gridSpan w:val="2"/>
            <w:vAlign w:val="center"/>
          </w:tcPr>
          <w:p w:rsidR="00522F65" w:rsidRPr="0055279D" w:rsidRDefault="00522F65" w:rsidP="00600CFF">
            <w:pPr>
              <w:pStyle w:val="ConsNormal"/>
              <w:widowControl w:val="0"/>
              <w:ind w:right="0" w:firstLine="0"/>
              <w:jc w:val="center"/>
              <w:rPr>
                <w:rFonts w:ascii="Times New Roman" w:hAnsi="Times New Roman" w:cs="Times New Roman"/>
                <w:b/>
                <w:sz w:val="22"/>
                <w:szCs w:val="22"/>
              </w:rPr>
            </w:pPr>
            <w:r w:rsidRPr="0055279D">
              <w:rPr>
                <w:rFonts w:ascii="Times New Roman" w:hAnsi="Times New Roman" w:cs="Times New Roman"/>
                <w:b/>
                <w:sz w:val="22"/>
                <w:szCs w:val="22"/>
              </w:rPr>
              <w:t xml:space="preserve">Более подробную информацию об условиях кредитования уточняйте в офисах </w:t>
            </w:r>
          </w:p>
          <w:p w:rsidR="00522F65" w:rsidRDefault="00522F65" w:rsidP="00600CFF">
            <w:pPr>
              <w:pStyle w:val="ConsNormal"/>
              <w:widowControl w:val="0"/>
              <w:ind w:right="0" w:firstLine="0"/>
              <w:jc w:val="center"/>
              <w:rPr>
                <w:rFonts w:ascii="Times New Roman" w:hAnsi="Times New Roman" w:cs="Times New Roman"/>
                <w:b/>
                <w:sz w:val="22"/>
                <w:szCs w:val="22"/>
              </w:rPr>
            </w:pPr>
            <w:r w:rsidRPr="0055279D">
              <w:rPr>
                <w:rFonts w:ascii="Times New Roman" w:hAnsi="Times New Roman" w:cs="Times New Roman"/>
                <w:b/>
                <w:sz w:val="22"/>
                <w:szCs w:val="22"/>
              </w:rPr>
              <w:t>АО «</w:t>
            </w:r>
            <w:proofErr w:type="spellStart"/>
            <w:r w:rsidRPr="0055279D">
              <w:rPr>
                <w:rFonts w:ascii="Times New Roman" w:hAnsi="Times New Roman" w:cs="Times New Roman"/>
                <w:b/>
                <w:sz w:val="22"/>
                <w:szCs w:val="22"/>
              </w:rPr>
              <w:t>Россельхозбанк</w:t>
            </w:r>
            <w:proofErr w:type="spellEnd"/>
            <w:r w:rsidRPr="0055279D">
              <w:rPr>
                <w:rFonts w:ascii="Times New Roman" w:hAnsi="Times New Roman" w:cs="Times New Roman"/>
                <w:b/>
                <w:sz w:val="22"/>
                <w:szCs w:val="22"/>
              </w:rPr>
              <w:t>»</w:t>
            </w:r>
            <w:r w:rsidRPr="00B25D20">
              <w:rPr>
                <w:rFonts w:ascii="Times New Roman" w:hAnsi="Times New Roman" w:cs="Times New Roman"/>
                <w:b/>
                <w:sz w:val="22"/>
                <w:szCs w:val="22"/>
              </w:rPr>
              <w:t xml:space="preserve"> </w:t>
            </w:r>
            <w:r>
              <w:rPr>
                <w:rFonts w:ascii="Times New Roman" w:hAnsi="Times New Roman" w:cs="Times New Roman"/>
                <w:b/>
                <w:sz w:val="22"/>
                <w:szCs w:val="22"/>
              </w:rPr>
              <w:t xml:space="preserve">или по телефону горячей линии – 8 (800) 200-02-90 </w:t>
            </w:r>
          </w:p>
          <w:p w:rsidR="00522F65" w:rsidRPr="00B25D20" w:rsidRDefault="00522F65" w:rsidP="00600CFF">
            <w:pPr>
              <w:pStyle w:val="ConsNormal"/>
              <w:widowControl w:val="0"/>
              <w:ind w:right="0" w:firstLine="0"/>
              <w:jc w:val="center"/>
              <w:rPr>
                <w:rFonts w:ascii="Times New Roman" w:hAnsi="Times New Roman" w:cs="Times New Roman"/>
                <w:b/>
                <w:sz w:val="22"/>
                <w:szCs w:val="22"/>
              </w:rPr>
            </w:pPr>
            <w:r>
              <w:rPr>
                <w:rFonts w:ascii="Times New Roman" w:hAnsi="Times New Roman" w:cs="Times New Roman"/>
                <w:b/>
                <w:sz w:val="22"/>
                <w:szCs w:val="22"/>
              </w:rPr>
              <w:t>Звонок по России бесплатный</w:t>
            </w:r>
          </w:p>
        </w:tc>
      </w:tr>
    </w:tbl>
    <w:p w:rsidR="00D71B70" w:rsidRDefault="00D71B70"/>
    <w:sectPr w:rsidR="00D71B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F5" w:rsidRDefault="00E030F5" w:rsidP="00F45121">
      <w:pPr>
        <w:spacing w:after="0" w:line="240" w:lineRule="auto"/>
      </w:pPr>
      <w:r>
        <w:separator/>
      </w:r>
    </w:p>
  </w:endnote>
  <w:endnote w:type="continuationSeparator" w:id="0">
    <w:p w:rsidR="00E030F5" w:rsidRDefault="00E030F5" w:rsidP="00F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oximaNov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F5" w:rsidRDefault="00E030F5" w:rsidP="00F45121">
      <w:pPr>
        <w:spacing w:after="0" w:line="240" w:lineRule="auto"/>
      </w:pPr>
      <w:r>
        <w:separator/>
      </w:r>
    </w:p>
  </w:footnote>
  <w:footnote w:type="continuationSeparator" w:id="0">
    <w:p w:rsidR="00E030F5" w:rsidRDefault="00E030F5" w:rsidP="00F4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47C"/>
    <w:multiLevelType w:val="hybridMultilevel"/>
    <w:tmpl w:val="616839FA"/>
    <w:lvl w:ilvl="0" w:tplc="A148F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73609"/>
    <w:multiLevelType w:val="hybridMultilevel"/>
    <w:tmpl w:val="52C4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405EC4"/>
    <w:multiLevelType w:val="hybridMultilevel"/>
    <w:tmpl w:val="A38CB440"/>
    <w:lvl w:ilvl="0" w:tplc="A6BAB21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A6616"/>
    <w:multiLevelType w:val="hybridMultilevel"/>
    <w:tmpl w:val="870A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B3230"/>
    <w:multiLevelType w:val="hybridMultilevel"/>
    <w:tmpl w:val="764CCD26"/>
    <w:lvl w:ilvl="0" w:tplc="3E64D62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72"/>
    <w:rsid w:val="0010225D"/>
    <w:rsid w:val="001046F7"/>
    <w:rsid w:val="00203F88"/>
    <w:rsid w:val="0026043F"/>
    <w:rsid w:val="00286776"/>
    <w:rsid w:val="0042787D"/>
    <w:rsid w:val="004816BB"/>
    <w:rsid w:val="00522F65"/>
    <w:rsid w:val="0055279D"/>
    <w:rsid w:val="006B0B46"/>
    <w:rsid w:val="00742EC2"/>
    <w:rsid w:val="00754D90"/>
    <w:rsid w:val="007713F9"/>
    <w:rsid w:val="0088599D"/>
    <w:rsid w:val="00A15FB7"/>
    <w:rsid w:val="00AB6E11"/>
    <w:rsid w:val="00B03772"/>
    <w:rsid w:val="00C16305"/>
    <w:rsid w:val="00D71B70"/>
    <w:rsid w:val="00E030F5"/>
    <w:rsid w:val="00F22069"/>
    <w:rsid w:val="00F4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5"/>
    <w:uiPriority w:val="99"/>
    <w:rsid w:val="00F4512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uiPriority w:val="99"/>
    <w:rsid w:val="00F45121"/>
    <w:rPr>
      <w:rFonts w:ascii="Times New Roman" w:eastAsia="Times New Roman" w:hAnsi="Times New Roman" w:cs="Times New Roman"/>
      <w:sz w:val="20"/>
      <w:szCs w:val="20"/>
      <w:lang w:val="x-none" w:eastAsia="x-none"/>
    </w:rPr>
  </w:style>
  <w:style w:type="character" w:styleId="a6">
    <w:name w:val="footnote reference"/>
    <w:uiPriority w:val="99"/>
    <w:rsid w:val="00F45121"/>
    <w:rPr>
      <w:vertAlign w:val="superscript"/>
    </w:rPr>
  </w:style>
  <w:style w:type="paragraph" w:styleId="a7">
    <w:name w:val="List Paragraph"/>
    <w:basedOn w:val="a"/>
    <w:link w:val="a8"/>
    <w:uiPriority w:val="34"/>
    <w:qFormat/>
    <w:rsid w:val="00F45121"/>
    <w:pPr>
      <w:ind w:left="720"/>
      <w:contextualSpacing/>
    </w:pPr>
  </w:style>
  <w:style w:type="paragraph" w:customStyle="1" w:styleId="ConsNormal">
    <w:name w:val="ConsNormal"/>
    <w:rsid w:val="00AB6E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annotation reference"/>
    <w:rsid w:val="00754D90"/>
    <w:rPr>
      <w:sz w:val="16"/>
      <w:szCs w:val="16"/>
    </w:rPr>
  </w:style>
  <w:style w:type="character" w:styleId="aa">
    <w:name w:val="Emphasis"/>
    <w:basedOn w:val="a0"/>
    <w:uiPriority w:val="20"/>
    <w:qFormat/>
    <w:rsid w:val="006B0B46"/>
    <w:rPr>
      <w:i/>
      <w:iCs/>
    </w:rPr>
  </w:style>
  <w:style w:type="character" w:customStyle="1" w:styleId="a8">
    <w:name w:val="Абзац списка Знак"/>
    <w:link w:val="a7"/>
    <w:uiPriority w:val="34"/>
    <w:locked/>
    <w:rsid w:val="00F22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5"/>
    <w:uiPriority w:val="99"/>
    <w:rsid w:val="00F4512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uiPriority w:val="99"/>
    <w:rsid w:val="00F45121"/>
    <w:rPr>
      <w:rFonts w:ascii="Times New Roman" w:eastAsia="Times New Roman" w:hAnsi="Times New Roman" w:cs="Times New Roman"/>
      <w:sz w:val="20"/>
      <w:szCs w:val="20"/>
      <w:lang w:val="x-none" w:eastAsia="x-none"/>
    </w:rPr>
  </w:style>
  <w:style w:type="character" w:styleId="a6">
    <w:name w:val="footnote reference"/>
    <w:uiPriority w:val="99"/>
    <w:rsid w:val="00F45121"/>
    <w:rPr>
      <w:vertAlign w:val="superscript"/>
    </w:rPr>
  </w:style>
  <w:style w:type="paragraph" w:styleId="a7">
    <w:name w:val="List Paragraph"/>
    <w:basedOn w:val="a"/>
    <w:link w:val="a8"/>
    <w:uiPriority w:val="34"/>
    <w:qFormat/>
    <w:rsid w:val="00F45121"/>
    <w:pPr>
      <w:ind w:left="720"/>
      <w:contextualSpacing/>
    </w:pPr>
  </w:style>
  <w:style w:type="paragraph" w:customStyle="1" w:styleId="ConsNormal">
    <w:name w:val="ConsNormal"/>
    <w:rsid w:val="00AB6E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annotation reference"/>
    <w:rsid w:val="00754D90"/>
    <w:rPr>
      <w:sz w:val="16"/>
      <w:szCs w:val="16"/>
    </w:rPr>
  </w:style>
  <w:style w:type="character" w:styleId="aa">
    <w:name w:val="Emphasis"/>
    <w:basedOn w:val="a0"/>
    <w:uiPriority w:val="20"/>
    <w:qFormat/>
    <w:rsid w:val="006B0B46"/>
    <w:rPr>
      <w:i/>
      <w:iCs/>
    </w:rPr>
  </w:style>
  <w:style w:type="character" w:customStyle="1" w:styleId="a8">
    <w:name w:val="Абзац списка Знак"/>
    <w:link w:val="a7"/>
    <w:uiPriority w:val="34"/>
    <w:locked/>
    <w:rsid w:val="00F2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ОАО Россельхозбанк</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Кошелев Антон Владимирович</dc:creator>
  <cp:lastModifiedBy>Кошелев Антон Владимирович</cp:lastModifiedBy>
  <cp:revision>4</cp:revision>
  <dcterms:created xsi:type="dcterms:W3CDTF">2016-03-22T06:01:00Z</dcterms:created>
  <dcterms:modified xsi:type="dcterms:W3CDTF">2016-04-04T04:47:00Z</dcterms:modified>
</cp:coreProperties>
</file>